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74CE87">
      <w:pPr>
        <w:spacing w:line="0" w:lineRule="atLeast"/>
        <w:jc w:val="center"/>
        <w:rPr>
          <w:rFonts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沈阳师范大学</w:t>
      </w:r>
    </w:p>
    <w:p w14:paraId="79251D20">
      <w:pPr>
        <w:spacing w:line="0" w:lineRule="atLeast"/>
        <w:jc w:val="center"/>
        <w:rPr>
          <w:rFonts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2025年专职辅导员年度述职报告</w:t>
      </w:r>
    </w:p>
    <w:p w14:paraId="7A0AC392">
      <w:pPr>
        <w:spacing w:line="0" w:lineRule="atLeast"/>
        <w:jc w:val="center"/>
        <w:rPr>
          <w:rFonts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新生引航育根基 毕业护航促发展</w:t>
      </w:r>
    </w:p>
    <w:p w14:paraId="7389ED66">
      <w:pPr>
        <w:jc w:val="center"/>
        <w:rPr>
          <w:rFonts w:eastAsia="楷体"/>
        </w:rPr>
      </w:pPr>
      <w:r>
        <w:rPr>
          <w:rFonts w:hint="eastAsia" w:ascii="楷体" w:hAnsi="楷体" w:eastAsia="楷体"/>
          <w:sz w:val="32"/>
          <w:szCs w:val="32"/>
        </w:rPr>
        <w:t>数学与系统科学学院 郑浩</w:t>
      </w:r>
    </w:p>
    <w:p w14:paraId="71FA1DFB">
      <w:pPr>
        <w:pStyle w:val="20"/>
        <w:spacing w:line="600" w:lineRule="exact"/>
        <w:ind w:firstLine="640" w:firstLineChars="200"/>
      </w:pPr>
      <w:r>
        <w:rPr>
          <w:rFonts w:hint="eastAsia"/>
        </w:rPr>
        <w:t>2025年是我聚焦育人实效、深化工作创新的关键年。这一年，我统筹多年级、多专业学生管理与培养，所带学生结构清晰、覆盖广</w:t>
      </w:r>
      <w:r>
        <w:t>泛</w:t>
      </w:r>
      <w:r>
        <w:rPr>
          <w:rFonts w:hint="eastAsia"/>
        </w:rPr>
        <w:t>。上半年，推进2025届244名毕业生</w:t>
      </w:r>
      <w:r>
        <w:rPr>
          <w:rFonts w:hint="eastAsia"/>
          <w:lang w:eastAsia="zh-CN"/>
        </w:rPr>
        <w:t>的</w:t>
      </w:r>
      <w:r>
        <w:rPr>
          <w:rFonts w:hint="eastAsia"/>
        </w:rPr>
        <w:t>毕业与就业衔接；下半年，完成2025级215名新生入学教育与适应性培养</w:t>
      </w:r>
      <w:r>
        <w:t>，</w:t>
      </w:r>
      <w:r>
        <w:rPr>
          <w:rFonts w:hint="eastAsia"/>
          <w:lang w:eastAsia="zh-CN"/>
        </w:rPr>
        <w:t>同时，</w:t>
      </w:r>
      <w:r>
        <w:rPr>
          <w:rFonts w:hint="eastAsia"/>
        </w:rPr>
        <w:t>开展2022级68名数学与应用数学（师范）专业毕业生</w:t>
      </w:r>
      <w:r>
        <w:rPr>
          <w:rFonts w:hint="eastAsia"/>
          <w:lang w:eastAsia="zh-CN"/>
        </w:rPr>
        <w:t>以及14名延长学制学生的</w:t>
      </w:r>
      <w:r>
        <w:rPr>
          <w:rFonts w:hint="eastAsia"/>
        </w:rPr>
        <w:t xml:space="preserve">学业规划、职业引导等前置工作。工作中，我主要负责评奖评优及综合测评的审核工作，统筹大创中心及专业竞赛的指导与培训，开展诚信教育和征兵的相关事宜，深耕“思政+就业+学业”融合育人模式，以“三维赋能”推动工作提质增效，护航学生成长成才。 </w:t>
      </w:r>
    </w:p>
    <w:p w14:paraId="4E7B8428">
      <w:pPr>
        <w:pStyle w:val="3"/>
        <w:spacing w:line="600" w:lineRule="exact"/>
      </w:pPr>
      <w:r>
        <w:rPr>
          <w:rFonts w:hint="eastAsia"/>
        </w:rPr>
        <w:t>一</w:t>
      </w:r>
      <w:r>
        <w:t>、主要工作开展情况</w:t>
      </w:r>
    </w:p>
    <w:p w14:paraId="2A216DD5">
      <w:pPr>
        <w:pStyle w:val="4"/>
        <w:spacing w:line="600" w:lineRule="exact"/>
      </w:pPr>
      <w:r>
        <w:t>（一）思想政治教育工作</w:t>
      </w:r>
    </w:p>
    <w:p w14:paraId="5BD3A8B5">
      <w:pPr>
        <w:pStyle w:val="20"/>
        <w:spacing w:line="600" w:lineRule="exact"/>
        <w:ind w:firstLine="640" w:firstLineChars="200"/>
      </w:pPr>
      <w:r>
        <w:rPr>
          <w:rFonts w:hint="eastAsia"/>
        </w:rPr>
        <w:t xml:space="preserve">在思想政治教育方面，我紧扣“立德树人”任务，构建“思政+就业+学业”融合育人体系，组织诚信、理想信念教育等专题班会与分享会，覆盖全体学生，引导其树立正确价值观与职业观。依托易班优课客群平台建立“红脉传习工作室”，让思政教育融入学生碎片化学习。凭借优质网络思政建设，我荣获年易班优课教师工作室征集展示活动“人气教师”称号。此外，我利用寒暑假开展家访，累计走访6名学生，深入了解其成长背景，沟通学业情况，搭建家校沟通桥梁，形成教育合力。 </w:t>
      </w:r>
    </w:p>
    <w:p w14:paraId="37C73012">
      <w:pPr>
        <w:pStyle w:val="4"/>
        <w:spacing w:line="600" w:lineRule="exact"/>
      </w:pPr>
      <w:r>
        <w:t>（二）学生日常事务管理</w:t>
      </w:r>
    </w:p>
    <w:p w14:paraId="712552A1">
      <w:pPr>
        <w:pStyle w:val="20"/>
        <w:spacing w:line="600" w:lineRule="exact"/>
        <w:ind w:firstLine="640" w:firstLineChars="200"/>
      </w:pPr>
      <w:r>
        <w:rPr>
          <w:rFonts w:hint="eastAsia"/>
        </w:rPr>
        <w:t>针对毕业生、新生、准毕业生不同阶段需求，我制定差异化管理方案，为2026届毕业生提供考研、考编“一站式”服务，为2025级新生开展入学教育等活动助其融入校园，</w:t>
      </w:r>
      <w:r>
        <w:t>量身打造入学教育与军训培养计划，全程跟进训练指导，助力新生在军训中锤炼意志、凝聚合力，获“旗语操训练优胜单位”</w:t>
      </w:r>
      <w:r>
        <w:rPr>
          <w:rFonts w:hint="eastAsia"/>
        </w:rPr>
        <w:t>、</w:t>
      </w:r>
      <w:r>
        <w:t>“分列式优胜单位”两项荣誉。</w:t>
      </w:r>
    </w:p>
    <w:p w14:paraId="7572CFEA">
      <w:pPr>
        <w:pStyle w:val="20"/>
        <w:spacing w:line="600" w:lineRule="exact"/>
        <w:ind w:firstLine="640" w:firstLineChars="200"/>
      </w:pPr>
      <w:r>
        <w:rPr>
          <w:rFonts w:hint="eastAsia"/>
        </w:rPr>
        <w:t>学年国家助学金评审中，精准认定2025级全体、2022级行政1班和2班共35名学生享受资助，确保资助政策落地。</w:t>
      </w:r>
      <w:r>
        <w:t>通过日常谈心谈话、宿舍走访、班委反馈等渠道，动态掌握学生心理状态，对</w:t>
      </w:r>
      <w:r>
        <w:rPr>
          <w:rFonts w:hint="eastAsia"/>
        </w:rPr>
        <w:t>2</w:t>
      </w:r>
      <w:r>
        <w:t>名存在心理压力的学生进行针对性疏导，有效防范心理风险。形成“学校—学院—家庭”三位一体的心理健康防护体系，为学生身心健康保驾护航。</w:t>
      </w:r>
    </w:p>
    <w:p w14:paraId="68B14181">
      <w:pPr>
        <w:pStyle w:val="4"/>
        <w:spacing w:line="600" w:lineRule="exact"/>
      </w:pPr>
      <w:r>
        <w:t>（三）职业规划与就业指导</w:t>
      </w:r>
    </w:p>
    <w:p w14:paraId="3E083C8A">
      <w:pPr>
        <w:pStyle w:val="20"/>
        <w:spacing w:line="600" w:lineRule="exact"/>
        <w:ind w:firstLine="640" w:firstLineChars="200"/>
      </w:pPr>
      <w:r>
        <w:rPr>
          <w:rFonts w:hint="eastAsia"/>
        </w:rPr>
        <w:t>依托学院卓越教师班、创新实践中心教师技能提升部，针对不同专业特点定制培训，为师范生举办考编面试与教学设计培训会；为大数据专业举办行业培训会；开展考研分享会，助备考学生获精准指导。</w:t>
      </w:r>
    </w:p>
    <w:p w14:paraId="1057B0AF">
      <w:pPr>
        <w:pStyle w:val="20"/>
        <w:spacing w:line="600" w:lineRule="exact"/>
        <w:ind w:firstLine="640" w:firstLineChars="200"/>
      </w:pPr>
      <w:r>
        <w:t>建立“一生一策”分类帮扶机制与就业跟踪台账，为师范生制定试讲改进计划，为大数据专业学生提供“技能测评—定向培训—项目历练”方案。</w:t>
      </w:r>
      <w:r>
        <w:rPr>
          <w:rFonts w:hint="eastAsia"/>
        </w:rPr>
        <w:t xml:space="preserve"> </w:t>
      </w:r>
    </w:p>
    <w:p w14:paraId="251CA19F">
      <w:pPr>
        <w:pStyle w:val="4"/>
        <w:spacing w:line="600" w:lineRule="exact"/>
      </w:pPr>
      <w:r>
        <w:t>（四）竞赛与创新创业指导</w:t>
      </w:r>
    </w:p>
    <w:p w14:paraId="34FC3B62">
      <w:pPr>
        <w:pStyle w:val="20"/>
        <w:spacing w:line="600" w:lineRule="exact"/>
        <w:ind w:firstLine="640" w:firstLineChars="200"/>
        <w:rPr>
          <w:rFonts w:hint="eastAsia"/>
        </w:rPr>
      </w:pPr>
      <w:r>
        <w:rPr>
          <w:rFonts w:hint="eastAsia"/>
        </w:rPr>
        <w:t>我</w:t>
      </w:r>
      <w:r>
        <w:t>通过班级宣讲、专业动员、线上推送等方式，广泛宣传各级各类竞赛与科创项目。常态化举办</w:t>
      </w:r>
      <w:r>
        <w:rPr>
          <w:rFonts w:hint="eastAsia"/>
        </w:rPr>
        <w:t>书法</w:t>
      </w:r>
      <w:r>
        <w:t>技能竞赛</w:t>
      </w:r>
      <w:r>
        <w:rPr>
          <w:rFonts w:hint="eastAsia"/>
        </w:rPr>
        <w:t>，</w:t>
      </w:r>
      <w:r>
        <w:t>全程跟踪大学生创新创业训练项目，从立项申报、中期检查到结题验收，提供全流程指导，项目结题率</w:t>
      </w:r>
      <w:r>
        <w:rPr>
          <w:rFonts w:hint="eastAsia"/>
        </w:rPr>
        <w:t>100%</w:t>
      </w:r>
      <w:r>
        <w:t>。</w:t>
      </w:r>
    </w:p>
    <w:p w14:paraId="19D8F069">
      <w:pPr>
        <w:pStyle w:val="4"/>
        <w:spacing w:line="600" w:lineRule="exact"/>
      </w:pPr>
      <w:r>
        <w:t>（五）廉洁自律与作风建设</w:t>
      </w:r>
    </w:p>
    <w:p w14:paraId="1B24174B">
      <w:pPr>
        <w:pStyle w:val="20"/>
        <w:spacing w:line="600" w:lineRule="exact"/>
        <w:ind w:firstLine="640" w:firstLineChars="200"/>
      </w:pPr>
      <w:r>
        <w:t>工作中，我始终以中央八项规定精神为行动指南，严格遵守廉洁自律相关规定，在评奖评优、资助评审、竞赛选拔等关键工作中，坚持原则、严守流程，主动接受师生监督，杜绝违规违纪行为，以自身作风为学生树立良好榜样。</w:t>
      </w:r>
    </w:p>
    <w:p w14:paraId="6FC00D1C">
      <w:pPr>
        <w:pStyle w:val="3"/>
        <w:spacing w:line="600" w:lineRule="exact"/>
      </w:pPr>
      <w:r>
        <w:rPr>
          <w:rFonts w:hint="eastAsia"/>
        </w:rPr>
        <w:t>二</w:t>
      </w:r>
      <w:r>
        <w:t>、取得的主要成绩</w:t>
      </w:r>
    </w:p>
    <w:p w14:paraId="40D90C8A">
      <w:pPr>
        <w:pStyle w:val="4"/>
        <w:spacing w:line="600" w:lineRule="exact"/>
      </w:pPr>
      <w:r>
        <w:t>（</w:t>
      </w:r>
      <w:r>
        <w:rPr>
          <w:rFonts w:hint="eastAsia"/>
        </w:rPr>
        <w:t>一</w:t>
      </w:r>
      <w:r>
        <w:t>）</w:t>
      </w:r>
      <w:r>
        <w:rPr>
          <w:rFonts w:hint="eastAsia"/>
        </w:rPr>
        <w:t>个人荣誉</w:t>
      </w:r>
    </w:p>
    <w:p w14:paraId="72C93B63">
      <w:pPr>
        <w:pStyle w:val="20"/>
        <w:spacing w:line="600" w:lineRule="exact"/>
        <w:ind w:firstLine="640" w:firstLineChars="200"/>
      </w:pPr>
      <w:r>
        <w:rPr>
          <w:rFonts w:hint="eastAsia"/>
        </w:rPr>
        <w:t>本人在易班优课教师工作室征集展示活动中获评“人气教师”称号，所牵头建设的“红脉传习工作室”成功打造为网络思政特色品牌，其推动思政教育与就业育人深度融合的实践成效，获得上级主管部门与广大学生的高度认可。此外，本人教授创新创业课程一门，先后斩获2025级新生军训优秀辅导员、2025年“高教社杯”全国大学生数学竞赛优秀组织奖、2025年就业创业季先进个人等多项荣誉。</w:t>
      </w:r>
      <w:r>
        <w:t>同时，为提升心理辅导专业能力，本人于2025年成功考取心理咨询师证书，为后续开展精准化心理健康教育工作奠定坚实基础。</w:t>
      </w:r>
    </w:p>
    <w:p w14:paraId="2EBA74FB">
      <w:pPr>
        <w:pStyle w:val="4"/>
        <w:spacing w:line="600" w:lineRule="exact"/>
      </w:pPr>
      <w:r>
        <w:t>（</w:t>
      </w:r>
      <w:r>
        <w:rPr>
          <w:rFonts w:hint="eastAsia"/>
        </w:rPr>
        <w:t>二</w:t>
      </w:r>
      <w:r>
        <w:t>）学生培养成效</w:t>
      </w:r>
    </w:p>
    <w:p w14:paraId="3C4AFCB0">
      <w:pPr>
        <w:pStyle w:val="20"/>
        <w:spacing w:line="600" w:lineRule="exact"/>
        <w:ind w:firstLine="640" w:firstLineChars="200"/>
      </w:pPr>
      <w:r>
        <w:rPr>
          <w:rFonts w:hint="eastAsia"/>
        </w:rPr>
        <w:t>升学就业成果显著，毕业生就业竞争力提升，就业质量与升学比例双丰收。2025届毕业生242人，整体就业态势好。就业去向多元，51人考研成功，考研率21%。本科毕业生就业率93.80%，227人就业。1人参与“三支一扶”，彰显责任担当。2026届毕业生在</w:t>
      </w:r>
      <w:r>
        <w:rPr>
          <w:rFonts w:hint="eastAsia"/>
          <w:lang w:eastAsia="zh-CN"/>
        </w:rPr>
        <w:t>沈阳</w:t>
      </w:r>
      <w:r>
        <w:rPr>
          <w:rFonts w:hint="eastAsia"/>
        </w:rPr>
        <w:t>市教育局直属单位高校直招、大连金普新区教育系统招聘等活动中表现突出，毕业生就业指导工作稳步开展，现有1</w:t>
      </w:r>
      <w:r>
        <w:rPr>
          <w:rFonts w:hint="eastAsia"/>
          <w:lang w:eastAsia="zh-CN"/>
        </w:rPr>
        <w:t>6</w:t>
      </w:r>
      <w:bookmarkStart w:id="0" w:name="_GoBack"/>
      <w:bookmarkEnd w:id="0"/>
      <w:r>
        <w:rPr>
          <w:rFonts w:hint="eastAsia"/>
        </w:rPr>
        <w:t xml:space="preserve">人成功签约就业协议。 </w:t>
      </w:r>
    </w:p>
    <w:p w14:paraId="79083F70">
      <w:pPr>
        <w:pStyle w:val="4"/>
        <w:spacing w:line="600" w:lineRule="exact"/>
      </w:pPr>
      <w:r>
        <w:t>（</w:t>
      </w:r>
      <w:r>
        <w:rPr>
          <w:rFonts w:hint="eastAsia"/>
        </w:rPr>
        <w:t>三</w:t>
      </w:r>
      <w:r>
        <w:t>）学生</w:t>
      </w:r>
      <w:r>
        <w:rPr>
          <w:rFonts w:hint="eastAsia"/>
        </w:rPr>
        <w:t>竞赛及学生荣誉成效</w:t>
      </w:r>
    </w:p>
    <w:p w14:paraId="51B411BA">
      <w:pPr>
        <w:pStyle w:val="20"/>
        <w:spacing w:line="600" w:lineRule="exact"/>
        <w:ind w:firstLine="640" w:firstLineChars="200"/>
      </w:pPr>
      <w:r>
        <w:t>竞赛科创成绩突出，全年学生斩获各级各类奖项</w:t>
      </w:r>
      <w:r>
        <w:rPr>
          <w:rFonts w:hint="eastAsia"/>
        </w:rPr>
        <w:t>278</w:t>
      </w:r>
      <w:r>
        <w:t>项，其中国家级</w:t>
      </w:r>
      <w:r>
        <w:rPr>
          <w:rFonts w:hint="eastAsia"/>
        </w:rPr>
        <w:t>36</w:t>
      </w:r>
      <w:r>
        <w:t>项、省级</w:t>
      </w:r>
      <w:r>
        <w:rPr>
          <w:rFonts w:hint="eastAsia"/>
        </w:rPr>
        <w:t>116</w:t>
      </w:r>
      <w:r>
        <w:t>项、校级</w:t>
      </w:r>
      <w:r>
        <w:rPr>
          <w:rFonts w:hint="eastAsia"/>
        </w:rPr>
        <w:t>126</w:t>
      </w:r>
      <w:r>
        <w:t>项。其中数学竞赛国家级</w:t>
      </w:r>
      <w:r>
        <w:rPr>
          <w:rFonts w:hint="eastAsia"/>
        </w:rPr>
        <w:t>35</w:t>
      </w:r>
      <w:r>
        <w:t>项、省级</w:t>
      </w:r>
      <w:r>
        <w:rPr>
          <w:rFonts w:hint="eastAsia"/>
        </w:rPr>
        <w:t>55</w:t>
      </w:r>
      <w:r>
        <w:t>项，数学建模比赛省级</w:t>
      </w:r>
      <w:r>
        <w:rPr>
          <w:rFonts w:hint="eastAsia"/>
        </w:rPr>
        <w:t>57</w:t>
      </w:r>
      <w:r>
        <w:t>项，教师技能类比赛校级</w:t>
      </w:r>
      <w:r>
        <w:rPr>
          <w:rFonts w:hint="eastAsia"/>
        </w:rPr>
        <w:t>58</w:t>
      </w:r>
      <w:r>
        <w:t>项，其他竞赛省级</w:t>
      </w:r>
      <w:r>
        <w:rPr>
          <w:rFonts w:hint="eastAsia"/>
        </w:rPr>
        <w:t>4</w:t>
      </w:r>
      <w:r>
        <w:t>项、校级</w:t>
      </w:r>
      <w:r>
        <w:rPr>
          <w:rFonts w:hint="eastAsia"/>
        </w:rPr>
        <w:t>37</w:t>
      </w:r>
      <w:r>
        <w:t>项，竞赛获奖数量与等级均位居学院前列。创新创业成果丰硕，大学生创新创业训练项目立项</w:t>
      </w:r>
      <w:r>
        <w:rPr>
          <w:rFonts w:hint="eastAsia"/>
        </w:rPr>
        <w:t>32</w:t>
      </w:r>
      <w:r>
        <w:t>项，其中国家级</w:t>
      </w:r>
      <w:r>
        <w:rPr>
          <w:rFonts w:hint="eastAsia"/>
        </w:rPr>
        <w:t>1</w:t>
      </w:r>
      <w:r>
        <w:t>项、校级</w:t>
      </w:r>
      <w:r>
        <w:rPr>
          <w:rFonts w:hint="eastAsia"/>
        </w:rPr>
        <w:t>31</w:t>
      </w:r>
      <w:r>
        <w:t>项，立项数量较上年增长</w:t>
      </w:r>
      <w:r>
        <w:rPr>
          <w:rFonts w:hint="eastAsia"/>
        </w:rPr>
        <w:t>32%</w:t>
      </w:r>
      <w:r>
        <w:t>，学生创新实践能力显著提升。</w:t>
      </w:r>
    </w:p>
    <w:p w14:paraId="704D8D3E">
      <w:pPr>
        <w:pStyle w:val="20"/>
        <w:spacing w:line="600" w:lineRule="exact"/>
        <w:ind w:firstLine="640" w:firstLineChars="200"/>
      </w:pPr>
      <w:r>
        <w:t>学生个人荣誉亮眼，</w:t>
      </w:r>
      <w:r>
        <w:rPr>
          <w:rFonts w:hint="eastAsia"/>
        </w:rPr>
        <w:t>1名学生</w:t>
      </w:r>
      <w:r>
        <w:t>获评年优秀退役大学生士兵，</w:t>
      </w:r>
      <w:r>
        <w:rPr>
          <w:rFonts w:hint="eastAsia"/>
        </w:rPr>
        <w:t>4</w:t>
      </w:r>
      <w:r>
        <w:t>名学生获田家炳奖学金，</w:t>
      </w:r>
      <w:r>
        <w:rPr>
          <w:rFonts w:hint="eastAsia"/>
        </w:rPr>
        <w:t>35</w:t>
      </w:r>
      <w:r>
        <w:t>名学生精准享受国家助学金资助</w:t>
      </w:r>
      <w:r>
        <w:rPr>
          <w:rFonts w:hint="eastAsia"/>
        </w:rPr>
        <w:t>，</w:t>
      </w:r>
      <w:r>
        <w:t>育人品牌影响力提升</w:t>
      </w:r>
      <w:r>
        <w:rPr>
          <w:rFonts w:hint="eastAsia"/>
        </w:rPr>
        <w:t>。经选拔，4人获田家炳奖学金、1人获国家奖学金、1人获省政府奖学金、1人获得逐梦奖学金，8人获得省优秀毕业生，8人获得校优秀毕业生。</w:t>
      </w:r>
    </w:p>
    <w:p w14:paraId="4284DC6C">
      <w:pPr>
        <w:pStyle w:val="3"/>
        <w:spacing w:line="600" w:lineRule="exact"/>
      </w:pPr>
      <w:r>
        <w:rPr>
          <w:rFonts w:hint="eastAsia"/>
        </w:rPr>
        <w:t>三</w:t>
      </w:r>
      <w:r>
        <w:t>、存在的问题与不足</w:t>
      </w:r>
    </w:p>
    <w:p w14:paraId="3234A946">
      <w:pPr>
        <w:pStyle w:val="20"/>
        <w:spacing w:line="600" w:lineRule="exact"/>
        <w:ind w:firstLine="640" w:firstLineChars="200"/>
      </w:pPr>
      <w:r>
        <w:t>对不同年级、不同性格学生的心理辅导个性化不足，深层心理需求挖掘不够。对部分小众竞赛的资源整合、指导力度不足，缺乏系统性指导方案。</w:t>
      </w:r>
      <w:r>
        <w:rPr>
          <w:rFonts w:hint="eastAsia"/>
        </w:rPr>
        <w:t>为不同专业学生制定专属培养方案，进一步完善“一生一策”帮扶机制，提供针对性学业指导与职业规划服务。</w:t>
      </w:r>
    </w:p>
    <w:p w14:paraId="66FB355C">
      <w:pPr>
        <w:pStyle w:val="3"/>
        <w:spacing w:line="600" w:lineRule="exact"/>
      </w:pPr>
      <w:r>
        <w:rPr>
          <w:rFonts w:hint="eastAsia"/>
        </w:rPr>
        <w:t>四</w:t>
      </w:r>
      <w:r>
        <w:t>、未来工作思路</w:t>
      </w:r>
    </w:p>
    <w:p w14:paraId="213619DC">
      <w:pPr>
        <w:pStyle w:val="20"/>
        <w:spacing w:line="600" w:lineRule="exact"/>
        <w:ind w:firstLine="640" w:firstLineChars="200"/>
      </w:pPr>
      <w:r>
        <w:rPr>
          <w:rFonts w:hint="eastAsia"/>
        </w:rPr>
        <w:t>整合竞赛资源，建立阶梯式指导体系；组建专项指导团队，攻坚国家级赛事，提升高等级奖项获奖比例；扩大竞赛覆盖广度，强化小众竞赛指导。</w:t>
      </w:r>
    </w:p>
    <w:p w14:paraId="39902AA1">
      <w:pPr>
        <w:pStyle w:val="20"/>
        <w:spacing w:line="600" w:lineRule="exact"/>
        <w:ind w:firstLine="640" w:firstLineChars="200"/>
      </w:pPr>
      <w:r>
        <w:rPr>
          <w:rFonts w:hint="eastAsia"/>
        </w:rPr>
        <w:t>本年度工作，我在忙碌间筑牢根基，在辛劳中积累经验，在勤勉里收获成果。今后，我将以全新面貌、创新举措、严谨作风，全力应对新挑战。</w:t>
      </w:r>
    </w:p>
    <w:p w14:paraId="451DF2E0">
      <w:pPr>
        <w:pStyle w:val="20"/>
        <w:spacing w:line="600" w:lineRule="exact"/>
      </w:pPr>
    </w:p>
    <w:p w14:paraId="3EB6D06B">
      <w:pPr>
        <w:jc w:val="center"/>
        <w:rPr>
          <w:rFonts w:eastAsiaTheme="minorEastAsia"/>
        </w:rPr>
      </w:pPr>
    </w:p>
    <w:p w14:paraId="789AC009">
      <w:pPr>
        <w:pStyle w:val="20"/>
        <w:spacing w:line="600" w:lineRule="exact"/>
      </w:pPr>
    </w:p>
    <w:sectPr>
      <w:headerReference r:id="rId3" w:type="default"/>
      <w:footerReference r:id="rId4" w:type="default"/>
      <w:pgSz w:w="11906" w:h="16838"/>
      <w:pgMar w:top="1417" w:right="1417" w:bottom="1417" w:left="1417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1A80D2"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663F59"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宋体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9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99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380" w:after="140" w:line="288" w:lineRule="auto"/>
      <w:outlineLvl w:val="0"/>
    </w:pPr>
    <w:rPr>
      <w:rFonts w:ascii="Arial" w:hAnsi="Arial" w:eastAsia="等线" w:cs="Arial"/>
      <w:b/>
      <w:bCs/>
      <w:sz w:val="36"/>
      <w:szCs w:val="36"/>
      <w:lang w:val="en-US" w:eastAsia="zh-CN" w:bidi="ar-SA"/>
    </w:rPr>
  </w:style>
  <w:style w:type="paragraph" w:styleId="3">
    <w:name w:val="heading 2"/>
    <w:next w:val="1"/>
    <w:qFormat/>
    <w:uiPriority w:val="0"/>
    <w:pPr>
      <w:spacing w:before="320" w:after="120" w:line="288" w:lineRule="auto"/>
      <w:outlineLvl w:val="1"/>
    </w:pPr>
    <w:rPr>
      <w:rFonts w:ascii="Arial" w:hAnsi="Arial" w:eastAsia="黑体" w:cs="Arial"/>
      <w:bCs/>
      <w:sz w:val="32"/>
      <w:szCs w:val="32"/>
      <w:lang w:val="en-US" w:eastAsia="zh-CN" w:bidi="ar-SA"/>
    </w:rPr>
  </w:style>
  <w:style w:type="paragraph" w:styleId="4">
    <w:name w:val="heading 3"/>
    <w:next w:val="1"/>
    <w:qFormat/>
    <w:uiPriority w:val="0"/>
    <w:pPr>
      <w:spacing w:before="300" w:after="120" w:line="288" w:lineRule="auto"/>
      <w:outlineLvl w:val="2"/>
    </w:pPr>
    <w:rPr>
      <w:rFonts w:ascii="Arial" w:hAnsi="Arial" w:eastAsia="楷体_GB2312" w:cs="Arial"/>
      <w:b/>
      <w:bCs/>
      <w:sz w:val="32"/>
      <w:szCs w:val="30"/>
      <w:lang w:val="en-US" w:eastAsia="zh-CN" w:bidi="ar-SA"/>
    </w:rPr>
  </w:style>
  <w:style w:type="paragraph" w:styleId="5">
    <w:name w:val="heading 4"/>
    <w:next w:val="1"/>
    <w:qFormat/>
    <w:uiPriority w:val="0"/>
    <w:pPr>
      <w:spacing w:before="260" w:after="120" w:line="288" w:lineRule="auto"/>
      <w:outlineLvl w:val="3"/>
    </w:pPr>
    <w:rPr>
      <w:rFonts w:ascii="Arial" w:hAnsi="Arial" w:eastAsia="等线" w:cs="Arial"/>
      <w:b/>
      <w:bCs/>
      <w:sz w:val="28"/>
      <w:szCs w:val="28"/>
      <w:lang w:val="en-US" w:eastAsia="zh-CN" w:bidi="ar-SA"/>
    </w:rPr>
  </w:style>
  <w:style w:type="paragraph" w:styleId="6">
    <w:name w:val="heading 5"/>
    <w:next w:val="1"/>
    <w:qFormat/>
    <w:uiPriority w:val="0"/>
    <w:pPr>
      <w:spacing w:before="240" w:after="120" w:line="288" w:lineRule="auto"/>
      <w:outlineLvl w:val="4"/>
    </w:pPr>
    <w:rPr>
      <w:rFonts w:ascii="Arial" w:hAnsi="Arial" w:eastAsia="等线" w:cs="Arial"/>
      <w:b/>
      <w:bCs/>
      <w:sz w:val="24"/>
      <w:szCs w:val="24"/>
      <w:lang w:val="en-US" w:eastAsia="zh-CN" w:bidi="ar-SA"/>
    </w:rPr>
  </w:style>
  <w:style w:type="paragraph" w:styleId="7">
    <w:name w:val="heading 6"/>
    <w:next w:val="1"/>
    <w:qFormat/>
    <w:uiPriority w:val="0"/>
    <w:pPr>
      <w:spacing w:before="240" w:after="120" w:line="288" w:lineRule="auto"/>
      <w:outlineLvl w:val="5"/>
    </w:pPr>
    <w:rPr>
      <w:rFonts w:ascii="Arial" w:hAnsi="Arial" w:eastAsia="等线" w:cs="Arial"/>
      <w:b/>
      <w:bCs/>
      <w:sz w:val="24"/>
      <w:szCs w:val="24"/>
      <w:lang w:val="en-US" w:eastAsia="zh-CN" w:bidi="ar-SA"/>
    </w:rPr>
  </w:style>
  <w:style w:type="character" w:default="1" w:styleId="14">
    <w:name w:val="Default Paragraph Font"/>
    <w:unhideWhenUsed/>
    <w:uiPriority w:val="1"/>
  </w:style>
  <w:style w:type="table" w:default="1" w:styleId="1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caption"/>
    <w:basedOn w:val="1"/>
    <w:next w:val="1"/>
    <w:unhideWhenUsed/>
    <w:qFormat/>
    <w:uiPriority w:val="0"/>
    <w:rPr>
      <w:rFonts w:ascii="Arial" w:hAnsi="Arial" w:eastAsia="黑体"/>
      <w:sz w:val="18"/>
    </w:rPr>
  </w:style>
  <w:style w:type="paragraph" w:styleId="9">
    <w:name w:val="Balloon Text"/>
    <w:basedOn w:val="1"/>
    <w:link w:val="22"/>
    <w:uiPriority w:val="0"/>
    <w:rPr>
      <w:sz w:val="18"/>
      <w:szCs w:val="18"/>
    </w:rPr>
  </w:style>
  <w:style w:type="paragraph" w:styleId="10">
    <w:name w:val="footer"/>
    <w:basedOn w:val="1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1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center"/>
      <w:outlineLvl w:val="9"/>
    </w:pPr>
    <w:rPr>
      <w:sz w:val="18"/>
    </w:rPr>
  </w:style>
  <w:style w:type="paragraph" w:styleId="12">
    <w:name w:val="footnote text"/>
    <w:link w:val="19"/>
    <w:qFormat/>
    <w:uiPriority w:val="99"/>
    <w:rPr>
      <w:rFonts w:ascii="Calibri" w:hAnsi="Calibri" w:eastAsia="宋体" w:cs="宋体"/>
      <w:lang w:val="en-US" w:eastAsia="zh-CN" w:bidi="ar-SA"/>
    </w:rPr>
  </w:style>
  <w:style w:type="paragraph" w:styleId="13">
    <w:name w:val="Title"/>
    <w:qFormat/>
    <w:uiPriority w:val="0"/>
    <w:pPr>
      <w:spacing w:before="480" w:after="480" w:line="288" w:lineRule="auto"/>
    </w:pPr>
    <w:rPr>
      <w:rFonts w:ascii="Arial" w:hAnsi="Arial" w:eastAsia="等线" w:cs="Arial"/>
      <w:b/>
      <w:bCs/>
      <w:sz w:val="52"/>
      <w:szCs w:val="52"/>
      <w:lang w:val="en-US" w:eastAsia="zh-CN" w:bidi="ar-SA"/>
    </w:rPr>
  </w:style>
  <w:style w:type="character" w:styleId="15">
    <w:name w:val="Hyperlink"/>
    <w:qFormat/>
    <w:uiPriority w:val="99"/>
    <w:rPr>
      <w:color w:val="0563C1"/>
      <w:u w:val="single"/>
    </w:rPr>
  </w:style>
  <w:style w:type="character" w:styleId="16">
    <w:name w:val="footnote reference"/>
    <w:qFormat/>
    <w:uiPriority w:val="99"/>
    <w:rPr>
      <w:vertAlign w:val="superscript"/>
    </w:rPr>
  </w:style>
  <w:style w:type="paragraph" w:customStyle="1" w:styleId="18">
    <w:name w:val="List Paragraph"/>
    <w:qFormat/>
    <w:uiPriority w:val="0"/>
    <w:rPr>
      <w:rFonts w:ascii="Calibri" w:hAnsi="Calibri" w:eastAsia="宋体" w:cs="宋体"/>
      <w:sz w:val="21"/>
      <w:szCs w:val="22"/>
      <w:lang w:val="en-US" w:eastAsia="zh-CN" w:bidi="ar-SA"/>
    </w:rPr>
  </w:style>
  <w:style w:type="character" w:customStyle="1" w:styleId="19">
    <w:name w:val="脚注文本 Char"/>
    <w:link w:val="12"/>
    <w:qFormat/>
    <w:uiPriority w:val="99"/>
    <w:rPr>
      <w:sz w:val="20"/>
      <w:szCs w:val="20"/>
    </w:rPr>
  </w:style>
  <w:style w:type="paragraph" w:customStyle="1" w:styleId="20">
    <w:name w:val="正文1"/>
    <w:qFormat/>
    <w:uiPriority w:val="0"/>
    <w:pPr>
      <w:spacing w:before="120" w:after="120" w:line="288" w:lineRule="auto"/>
    </w:pPr>
    <w:rPr>
      <w:rFonts w:ascii="Times New Roman" w:hAnsi="Times New Roman" w:eastAsia="仿宋_GB2312" w:cs="Arial"/>
      <w:sz w:val="32"/>
      <w:szCs w:val="22"/>
      <w:lang w:val="en-US" w:eastAsia="zh-CN" w:bidi="ar-SA"/>
    </w:rPr>
  </w:style>
  <w:style w:type="paragraph" w:customStyle="1" w:styleId="21">
    <w:name w:val="_Style 14"/>
    <w:qFormat/>
    <w:uiPriority w:val="0"/>
    <w:pPr>
      <w:spacing w:before="120" w:after="120" w:line="288" w:lineRule="auto"/>
    </w:pPr>
    <w:rPr>
      <w:rFonts w:ascii="Arial" w:hAnsi="Arial" w:eastAsia="等线" w:cs="Arial"/>
      <w:color w:val="8F959E"/>
      <w:sz w:val="22"/>
      <w:szCs w:val="22"/>
      <w:lang w:val="en-US" w:eastAsia="zh-CN" w:bidi="ar-SA"/>
    </w:rPr>
  </w:style>
  <w:style w:type="character" w:customStyle="1" w:styleId="22">
    <w:name w:val="批注框文本 Char"/>
    <w:basedOn w:val="14"/>
    <w:link w:val="9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409</Words>
  <Characters>2334</Characters>
  <Lines>19</Lines>
  <Paragraphs>5</Paragraphs>
  <TotalTime>0</TotalTime>
  <ScaleCrop>false</ScaleCrop>
  <LinksUpToDate>false</LinksUpToDate>
  <CharactersWithSpaces>2738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2025-12-29T20:57:00Z</dcterms:created>
  <dc:creator>Un-named</dc:creator>
  <cp:lastModifiedBy>iPhone</cp:lastModifiedBy>
  <cp:lastPrinted>2025-12-15T10:02:00Z</cp:lastPrinted>
  <dcterms:modified xsi:type="dcterms:W3CDTF">2026-01-03T18:26:48Z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eyJoZGlkIjoiZjk1ZGQ3NjU5NTJhZDcxZGNmZDBmZmZjNDI0MGQ3OTEiLCJ1c2VySWQiOiIxMTAxNjA2ODc1In0=</vt:lpwstr>
  </property>
  <property fmtid="{D5CDD505-2E9C-101B-9397-08002B2CF9AE}" pid="3" name="KSOProductBuildVer">
    <vt:lpwstr>2052-12.38.0</vt:lpwstr>
  </property>
  <property fmtid="{D5CDD505-2E9C-101B-9397-08002B2CF9AE}" pid="4" name="ICV">
    <vt:lpwstr>7C31F290A9634389B9498DC2171EB62D_13</vt:lpwstr>
  </property>
</Properties>
</file>